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____________________________________________________________</w:t>
      </w:r>
    </w:p>
    <w:p w:rsidR="00000000" w:rsidDel="00000000" w:rsidP="00000000" w:rsidRDefault="00000000" w:rsidRPr="00000000" w14:paraId="00000002">
      <w:pPr>
        <w:pageBreakBefore w:val="0"/>
        <w:rPr>
          <w:b w:val="1"/>
          <w:sz w:val="28"/>
          <w:szCs w:val="28"/>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Note: A business must receive Gold level before being eligible for </w:t>
      </w:r>
      <w:r w:rsidDel="00000000" w:rsidR="00000000" w:rsidRPr="00000000">
        <w:rPr>
          <w:rFonts w:ascii="Times New Roman" w:cs="Times New Roman" w:eastAsia="Times New Roman" w:hAnsi="Times New Roman"/>
          <w:b w:val="1"/>
          <w:sz w:val="28"/>
          <w:szCs w:val="28"/>
          <w:shd w:fill="cfe2f3" w:val="clear"/>
          <w:rtl w:val="0"/>
        </w:rPr>
        <w:t xml:space="preserve">Platinum</w:t>
      </w:r>
      <w:r w:rsidDel="00000000" w:rsidR="00000000" w:rsidRPr="00000000">
        <w:rPr>
          <w:rFonts w:ascii="Times New Roman" w:cs="Times New Roman" w:eastAsia="Times New Roman" w:hAnsi="Times New Roman"/>
          <w:b w:val="1"/>
          <w:sz w:val="28"/>
          <w:szCs w:val="28"/>
          <w:rtl w:val="0"/>
        </w:rPr>
        <w:t xml:space="preserve"> level</w:t>
      </w:r>
    </w:p>
    <w:p w:rsidR="00000000" w:rsidDel="00000000" w:rsidP="00000000" w:rsidRDefault="00000000" w:rsidRPr="00000000" w14:paraId="00000004">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Specific Examples within each Platinum Smart Business:</w:t>
      </w:r>
    </w:p>
    <w:p w:rsidR="00000000" w:rsidDel="00000000" w:rsidP="00000000" w:rsidRDefault="00000000" w:rsidRPr="00000000" w14:paraId="00000006">
      <w:pPr>
        <w:pageBreakBefore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Barilla </w:t>
      </w:r>
    </w:p>
    <w:p w:rsidR="00000000" w:rsidDel="00000000" w:rsidP="00000000" w:rsidRDefault="00000000" w:rsidRPr="00000000" w14:paraId="00000008">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Founding member of The Iowa Sustainable Business Forum / Committed to renewable energy by installing a 2.5mW wind turbine (7-10% of electrical energy, which will cause all their gluten free pasta to be produced using renewable energy) and also testing for a solar ray in Italy with the idea of moving this concept to the Ames location / Company mission statement of "Good for you, good for the planet, good for the community" in all business practices.</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Duck Worth Wearing</w:t>
      </w:r>
    </w:p>
    <w:p w:rsidR="00000000" w:rsidDel="00000000" w:rsidP="00000000" w:rsidRDefault="00000000" w:rsidRPr="00000000" w14:paraId="0000000C">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Unsold items not given to charity are sold with proceeds going into a philanthropic fund to support local programs and local/national/international missions.  A few groups supported include: Downtown events, school PTO carnivals, ISU student groups, homeless and needy families.</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Greens Hills Retirement Community</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Little Library system on campus. Take a book, Leave a book system for our residents and the community.                                                                                                            </w:t>
      </w:r>
    </w:p>
    <w:p w:rsidR="00000000" w:rsidDel="00000000" w:rsidP="00000000" w:rsidRDefault="00000000" w:rsidRPr="00000000" w14:paraId="00000012">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Central Monitoring of Utilities--Pumps, Frequency, Air Flow, Air Pressure and Temperature. If one of the systems is not in range, an email is sent to our Director of Facilities so that he can immediately become aware of an issue.                                                                                                                                                                                                                    Land Conservation-- Prairie Field                                                                                                                                                                                                                               Solar Panels being added to buildings to conserve energy</w:t>
      </w:r>
    </w:p>
    <w:p w:rsidR="00000000" w:rsidDel="00000000" w:rsidP="00000000" w:rsidRDefault="00000000" w:rsidRPr="00000000" w14:paraId="00000013">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McFarland Clinic</w:t>
      </w:r>
    </w:p>
    <w:p w:rsidR="00000000" w:rsidDel="00000000" w:rsidP="00000000" w:rsidRDefault="00000000" w:rsidRPr="00000000" w14:paraId="0000001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2016 - A 312 kW solar array was installed and has been performing excellent at 3600 Lincoln Way Ames  Located on ehr off of this facility and we also have a display ut front of the facility explaining what we have in place</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at 1215 Duff Ames we installed a Solar UV system that reduces our natural gas cost by over $13,000 annually and reduces over 22,500 therms of energy usage annually. GHG reduction  tCO2 118.6</w:t>
      </w:r>
    </w:p>
    <w:p w:rsidR="00000000" w:rsidDel="00000000" w:rsidP="00000000" w:rsidRDefault="00000000" w:rsidRPr="00000000" w14:paraId="0000001B">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awarded 2020 with completion anticipated prior to year end . Approximately 11,000 cubic gallons of storm water can be stored on site underground being released slowly to help water errisonion.</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awarded March 2019 with completion prior to year 2019. Storm water can be stored on site in the collection basin and released slowly to reduce water errisonion.</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mechanical system update included four large ERV units to improve indoor air quality at this location.  System provided conditioned outside air into our facility at the same time reduce overall energy consumption.  </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evaluating current mechanical systems performances using a Commissioning Building air balancer and correcting systems performance with correct air exchanges taking place.  Controlled building changes between our facility and MGMC installing a large vestibule between our facilities to control building static losses on our end.  Investment was $25,000 with a ROI  24 months.  </w:t>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Loft</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Items that do not sell in the store are given to charity or sold online. Proceeds from online sales support local programs and local/national/international causes.  A few groups supported include: Downtown events, school PTO carnivals, ISU student groups, homeless, and families with limited resources.</w:t>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Wheatsfield Cooperative</w:t>
      </w:r>
    </w:p>
    <w:p w:rsidR="00000000" w:rsidDel="00000000" w:rsidP="00000000" w:rsidRDefault="00000000" w:rsidRPr="00000000" w14:paraId="0000002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Impact Measurement Software, will allow us to collect data about the store, evaluate our triple bottom line impacts (people, planet and profit), share and compare this information with other co-ops, and develop a more sustainable business model. There are many options for tracking sustainability in the market, this one worked for us.</w:t>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Morning Bell Coffee Roasters</w:t>
      </w:r>
    </w:p>
    <w:p w:rsidR="00000000" w:rsidDel="00000000" w:rsidP="00000000" w:rsidRDefault="00000000" w:rsidRPr="00000000" w14:paraId="0000003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 roasting the coffee beans is not standard industry practice but reduces gas usage, as shown on the energy audit. Little waste emissions and composting methods stand out as above and beyond. Has exceptional fairtrade coffee use and relationship with coffee farmers. Fair trade certified business which requires extensive paperwork and care.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ind w:left="2880" w:firstLine="0"/>
      <w:rPr/>
    </w:pPr>
    <w:r w:rsidDel="00000000" w:rsidR="00000000" w:rsidRPr="00000000">
      <w:rPr>
        <w:b w:val="1"/>
        <w:sz w:val="26"/>
        <w:szCs w:val="26"/>
        <w:rtl w:val="0"/>
      </w:rPr>
      <w:t xml:space="preserve">       11 Platinum Level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-342899</wp:posOffset>
          </wp:positionV>
          <wp:extent cx="1071563" cy="69015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69015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4843463</wp:posOffset>
          </wp:positionH>
          <wp:positionV relativeFrom="paragraph">
            <wp:posOffset>-342899</wp:posOffset>
          </wp:positionV>
          <wp:extent cx="823913" cy="8239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23913" cy="823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